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36"/>
          <w:rtl w:val="0"/>
        </w:rPr>
        <w:t xml:space="preserve">                          </w:t>
      </w:r>
      <w:r w:rsidDel="00000000" w:rsidR="00000000" w:rsidRPr="00000000">
        <w:rPr>
          <w:rFonts w:ascii="Verdana" w:cs="Verdana" w:eastAsia="Verdana" w:hAnsi="Verdana"/>
          <w:b w:val="1"/>
          <w:sz w:val="58"/>
          <w:highlight w:val="white"/>
          <w:rtl w:val="0"/>
        </w:rPr>
        <w:t xml:space="preserve">Ein K</w:t>
      </w:r>
      <w:r w:rsidDel="00000000" w:rsidR="00000000" w:rsidRPr="00000000">
        <w:rPr>
          <w:rFonts w:ascii="Verdana" w:cs="Verdana" w:eastAsia="Verdana" w:hAnsi="Verdana"/>
          <w:b w:val="1"/>
          <w:sz w:val="58"/>
          <w:highlight w:val="white"/>
          <w:rtl w:val="0"/>
        </w:rPr>
        <w:t xml:space="preserve">leinstaat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highlight w:val="white"/>
          <w:rtl w:val="0"/>
        </w:rPr>
        <w:t xml:space="preserve">Kleinstaaten sind Staatsgebiete die im Vergleich zu anderen Staaten klein sind, sie besitzen wenig militärische Einrichtungen, haben weniger Einwohner und eine kleine Wirtschaft. Ob ein Staat als Kleinstaat, Mittelstaat oder Grossmacht anzusehen ist, kann man nicht genau deuten. Es hängt davon ab mit welchem anderen Staat er verglichen wird. Ob ein Staat nun ein Kleinstaat ist oder nicht, spielt keine grosse Rolle, das Volk hat die gleichen Rechte wie in anderen Staaten.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highlight w:val="white"/>
          <w:rtl w:val="0"/>
        </w:rPr>
        <w:t xml:space="preserve">Sie haben eine gute lokale Koordination der öffentlichen Verwaltung. Ausserdem wird viel betont, dass die Wirtschaft von Kleinstaaten nicht die gesamte Breite der Wirtschaftszweige abdecken könne. Kleinstaaten haben in der Regel keinen grossen Einfluss auf die Weltpolitik. Manche Kleinstaaten verfügen jedoch über bedeutende Wirtschaftskraft (z.B. Erdölvorkommen); andere sind aufgrund ihrer geographischen Lage von Bedeutung oder können als Vermittler zwischen den Grossmächten wirken</w:t>
      </w:r>
      <w:r w:rsidDel="00000000" w:rsidR="00000000" w:rsidRPr="00000000">
        <w:rPr>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highlight w:val="white"/>
          <w:rtl w:val="0"/>
        </w:rPr>
        <w:t xml:space="preserve">Im 18. Jahrhundert wurden kleine Fürstentümer ironisch auch als Duodezfürstentümer (Duodezstaaten) bezeichnet. Duodez ist der Name eines veralteten Buchformats, das etwas unbedeutend Kleines bedeutet.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333333"/>
          <w:sz w:val="28"/>
          <w:highlight w:val="white"/>
          <w:rtl w:val="0"/>
        </w:rPr>
        <w:t xml:space="preserve">http://www.kleinstaaten.de/</w:t>
      </w:r>
    </w:p>
    <w:p w:rsidR="00000000" w:rsidDel="00000000" w:rsidP="00000000" w:rsidRDefault="00000000" w:rsidRPr="00000000">
      <w:pPr>
        <w:spacing w:after="20" w:before="20" w:line="327.27272727272725" w:lineRule="auto"/>
        <w:contextualSpacing w:val="0"/>
      </w:pPr>
      <w:r w:rsidDel="00000000" w:rsidR="00000000" w:rsidRPr="00000000">
        <w:rPr>
          <w:color w:val="333333"/>
          <w:sz w:val="28"/>
          <w:highlight w:val="white"/>
          <w:rtl w:val="0"/>
        </w:rPr>
        <w:t xml:space="preserve">http://www.wissen.de/lexikon/kleinstaat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8880.0" w:type="dxa"/>
        <w:jc w:val="left"/>
        <w:tblBorders>
          <w:top w:color="aaaaaa" w:space="0" w:sz="6" w:val="single"/>
          <w:left w:color="aaaaaa" w:space="0" w:sz="6" w:val="single"/>
          <w:bottom w:color="aaaaaa" w:space="0" w:sz="6" w:val="single"/>
          <w:right w:color="aaaaaa" w:space="0" w:sz="6" w:val="single"/>
          <w:insideH w:color="aaaaaa" w:space="0" w:sz="6" w:val="single"/>
          <w:insideV w:color="aaaaaa" w:space="0" w:sz="6" w:val="single"/>
        </w:tblBorders>
        <w:tblLayout w:type="fixed"/>
        <w:tblLook w:val="0600"/>
      </w:tblPr>
      <w:tblGrid>
        <w:gridCol w:w="945"/>
        <w:gridCol w:w="2145"/>
        <w:gridCol w:w="1605"/>
        <w:gridCol w:w="1530"/>
        <w:gridCol w:w="2655"/>
        <w:tblGridChange w:id="0">
          <w:tblGrid>
            <w:gridCol w:w="945"/>
            <w:gridCol w:w="2145"/>
            <w:gridCol w:w="1605"/>
            <w:gridCol w:w="1530"/>
            <w:gridCol w:w="2655"/>
          </w:tblGrid>
        </w:tblGridChange>
      </w:tblGrid>
      <w:tr>
        <w:tc>
          <w:tcPr>
            <w:tcBorders>
              <w:top w:color="aaaaaa" w:space="0" w:sz="6" w:val="single"/>
              <w:left w:color="aaaaaa" w:space="0" w:sz="6" w:val="single"/>
              <w:bottom w:color="aaaaaa" w:space="0" w:sz="6" w:val="single"/>
              <w:right w:color="aaaaaa" w:space="0" w:sz="6" w:val="single"/>
            </w:tcBorders>
            <w:shd w:fill="f2f2f2"/>
            <w:tcMar>
              <w:top w:w="60.0" w:type="dxa"/>
              <w:left w:w="80.0" w:type="dxa"/>
              <w:bottom w:w="60.0" w:type="dxa"/>
              <w:right w:w="32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rPr>
                <w:shd w:fill="f2f2f2" w:val="clear"/>
                <w:rtl w:val="0"/>
              </w:rPr>
              <w:t xml:space="preserve">Rang</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tcMar>
              <w:top w:w="60.0" w:type="dxa"/>
              <w:left w:w="80.0" w:type="dxa"/>
              <w:bottom w:w="60.0" w:type="dxa"/>
              <w:right w:w="32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rPr>
                <w:shd w:fill="f2f2f2" w:val="clear"/>
                <w:rtl w:val="0"/>
              </w:rPr>
              <w:t xml:space="preserve">Land / Territorium</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tcMar>
              <w:top w:w="60.0" w:type="dxa"/>
              <w:left w:w="80.0" w:type="dxa"/>
              <w:bottom w:w="60.0" w:type="dxa"/>
              <w:right w:w="32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rPr>
                <w:shd w:fill="f2f2f2" w:val="clear"/>
                <w:rtl w:val="0"/>
              </w:rPr>
              <w:t xml:space="preserve">Fläche (km²)</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tcMar>
              <w:top w:w="60.0" w:type="dxa"/>
              <w:left w:w="80.0" w:type="dxa"/>
              <w:bottom w:w="60.0" w:type="dxa"/>
              <w:right w:w="32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rPr>
                <w:shd w:fill="f2f2f2" w:val="clear"/>
                <w:rtl w:val="0"/>
              </w:rPr>
              <w:t xml:space="preserve">Einwohner</w:t>
            </w:r>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shd w:fill="f2f2f2"/>
            <w:tcMar>
              <w:top w:w="60.0" w:type="dxa"/>
              <w:left w:w="80.0" w:type="dxa"/>
              <w:bottom w:w="60.0" w:type="dxa"/>
              <w:right w:w="32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rPr>
                <w:shd w:fill="f2f2f2" w:val="clear"/>
                <w:rtl w:val="0"/>
              </w:rPr>
              <w:t xml:space="preserve">Lage</w:t>
            </w:r>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rPr>
                <w:shd w:fill="f9f9f9" w:val="clear"/>
                <w:rtl w:val="0"/>
              </w:rPr>
              <w:t xml:space="preserve">1</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drawing>
                <wp:inline distB="114300" distT="114300" distL="114300" distR="114300">
                  <wp:extent cx="165100" cy="165100"/>
                  <wp:effectExtent b="9525" l="9525" r="9525" t="9525"/>
                  <wp:docPr descr="Vatikanstadt" id="4" name="image12.png"/>
                  <a:graphic>
                    <a:graphicData uri="http://schemas.openxmlformats.org/drawingml/2006/picture">
                      <pic:pic>
                        <pic:nvPicPr>
                          <pic:cNvPr descr="Vatikanstadt" id="0" name="image12.png"/>
                          <pic:cNvPicPr preferRelativeResize="0"/>
                        </pic:nvPicPr>
                        <pic:blipFill>
                          <a:blip r:embed="rId5"/>
                          <a:srcRect b="0" l="0" r="0" t="0"/>
                          <a:stretch>
                            <a:fillRect/>
                          </a:stretch>
                        </pic:blipFill>
                        <pic:spPr>
                          <a:xfrm>
                            <a:off x="0" y="0"/>
                            <a:ext cx="165100" cy="165100"/>
                          </a:xfrm>
                          <a:prstGeom prst="rect"/>
                          <a:ln w="9525">
                            <a:solidFill>
                              <a:srgbClr val="DDDDDD"/>
                            </a:solidFill>
                            <a:prstDash val="solid"/>
                          </a:ln>
                        </pic:spPr>
                      </pic:pic>
                    </a:graphicData>
                  </a:graphic>
                </wp:inline>
              </w:drawing>
            </w:r>
            <w:r w:rsidDel="00000000" w:rsidR="00000000" w:rsidRPr="00000000">
              <w:rPr>
                <w:shd w:fill="f9f9f9" w:val="clear"/>
                <w:rtl w:val="0"/>
              </w:rPr>
              <w:t xml:space="preserve"> </w:t>
            </w:r>
            <w:hyperlink r:id="rId6">
              <w:r w:rsidDel="00000000" w:rsidR="00000000" w:rsidRPr="00000000">
                <w:rPr>
                  <w:color w:val="0b0080"/>
                  <w:shd w:fill="f9f9f9" w:val="clear"/>
                  <w:rtl w:val="0"/>
                </w:rPr>
                <w:t xml:space="preserve">Vatikanstadt</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center"/>
            </w:pPr>
            <w:r w:rsidDel="00000000" w:rsidR="00000000" w:rsidRPr="00000000">
              <w:rPr>
                <w:shd w:fill="f9f9f9" w:val="clear"/>
                <w:rtl w:val="0"/>
              </w:rPr>
              <w:t xml:space="preserve">0,44</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832</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hyperlink r:id="rId7">
              <w:r w:rsidDel="00000000" w:rsidR="00000000" w:rsidRPr="00000000">
                <w:rPr>
                  <w:color w:val="0b0080"/>
                  <w:shd w:fill="f9f9f9" w:val="clear"/>
                  <w:rtl w:val="0"/>
                </w:rPr>
                <w:t xml:space="preserve">Südeuropa</w:t>
              </w:r>
            </w:hyperlink>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2</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28600" cy="177800"/>
                  <wp:effectExtent b="9525" l="9525" r="9525" t="9525"/>
                  <wp:docPr descr="Monaco" id="2" name="image10.png"/>
                  <a:graphic>
                    <a:graphicData uri="http://schemas.openxmlformats.org/drawingml/2006/picture">
                      <pic:pic>
                        <pic:nvPicPr>
                          <pic:cNvPr descr="Monaco" id="0" name="image10.png"/>
                          <pic:cNvPicPr preferRelativeResize="0"/>
                        </pic:nvPicPr>
                        <pic:blipFill>
                          <a:blip r:embed="rId8"/>
                          <a:srcRect b="0" l="0" r="0" t="0"/>
                          <a:stretch>
                            <a:fillRect/>
                          </a:stretch>
                        </pic:blipFill>
                        <pic:spPr>
                          <a:xfrm>
                            <a:off x="0" y="0"/>
                            <a:ext cx="228600" cy="177800"/>
                          </a:xfrm>
                          <a:prstGeom prst="rect"/>
                          <a:ln w="9525">
                            <a:solidFill>
                              <a:srgbClr val="DDDDDD"/>
                            </a:solidFill>
                            <a:prstDash val="solid"/>
                          </a:ln>
                        </pic:spPr>
                      </pic:pic>
                    </a:graphicData>
                  </a:graphic>
                </wp:inline>
              </w:drawing>
            </w:r>
            <w:r w:rsidDel="00000000" w:rsidR="00000000" w:rsidRPr="00000000">
              <w:rPr>
                <w:shd w:fill="f9f9f9" w:val="clear"/>
                <w:rtl w:val="0"/>
              </w:rPr>
              <w:t xml:space="preserve"> </w:t>
            </w:r>
            <w:hyperlink r:id="rId9">
              <w:r w:rsidDel="00000000" w:rsidR="00000000" w:rsidRPr="00000000">
                <w:rPr>
                  <w:color w:val="0b0080"/>
                  <w:shd w:fill="f9f9f9" w:val="clear"/>
                  <w:rtl w:val="0"/>
                </w:rPr>
                <w:t xml:space="preserve">Monaco</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2,02</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32.965</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Südeuropa</w:t>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3</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54000" cy="127000"/>
                  <wp:effectExtent b="0" l="0" r="0" t="0"/>
                  <wp:docPr descr="Nauru" id="10" name="image19.png"/>
                  <a:graphic>
                    <a:graphicData uri="http://schemas.openxmlformats.org/drawingml/2006/picture">
                      <pic:pic>
                        <pic:nvPicPr>
                          <pic:cNvPr descr="Nauru" id="0" name="image19.png"/>
                          <pic:cNvPicPr preferRelativeResize="0"/>
                        </pic:nvPicPr>
                        <pic:blipFill>
                          <a:blip r:embed="rId10"/>
                          <a:srcRect b="0" l="0" r="0" t="0"/>
                          <a:stretch>
                            <a:fillRect/>
                          </a:stretch>
                        </pic:blipFill>
                        <pic:spPr>
                          <a:xfrm>
                            <a:off x="0" y="0"/>
                            <a:ext cx="254000" cy="127000"/>
                          </a:xfrm>
                          <a:prstGeom prst="rect"/>
                          <a:ln/>
                        </pic:spPr>
                      </pic:pic>
                    </a:graphicData>
                  </a:graphic>
                </wp:inline>
              </w:drawing>
            </w:r>
            <w:r w:rsidDel="00000000" w:rsidR="00000000" w:rsidRPr="00000000">
              <w:rPr>
                <w:shd w:fill="f9f9f9" w:val="clear"/>
                <w:rtl w:val="0"/>
              </w:rPr>
              <w:t xml:space="preserve"> </w:t>
            </w:r>
            <w:hyperlink r:id="rId11">
              <w:r w:rsidDel="00000000" w:rsidR="00000000" w:rsidRPr="00000000">
                <w:rPr>
                  <w:color w:val="0b0080"/>
                  <w:shd w:fill="f9f9f9" w:val="clear"/>
                  <w:rtl w:val="0"/>
                </w:rPr>
                <w:t xml:space="preserve">Nauru</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21</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10.175</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hyperlink r:id="rId12">
              <w:r w:rsidDel="00000000" w:rsidR="00000000" w:rsidRPr="00000000">
                <w:rPr>
                  <w:color w:val="0b0080"/>
                  <w:shd w:fill="f9f9f9" w:val="clear"/>
                  <w:rtl w:val="0"/>
                </w:rPr>
                <w:t xml:space="preserve">Ozeanien</w:t>
              </w:r>
            </w:hyperlink>
            <w:r w:rsidDel="00000000" w:rsidR="00000000" w:rsidRPr="00000000">
              <w:rPr>
                <w:shd w:fill="f9f9f9" w:val="clear"/>
                <w:rtl w:val="0"/>
              </w:rPr>
              <w:t xml:space="preserve"> – </w:t>
            </w:r>
            <w:hyperlink r:id="rId13">
              <w:r w:rsidDel="00000000" w:rsidR="00000000" w:rsidRPr="00000000">
                <w:rPr>
                  <w:color w:val="0b0080"/>
                  <w:shd w:fill="f9f9f9" w:val="clear"/>
                  <w:rtl w:val="0"/>
                </w:rPr>
                <w:t xml:space="preserve">Mikronesien</w:t>
              </w:r>
            </w:hyperlink>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4</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54000" cy="127000"/>
                  <wp:effectExtent b="0" l="0" r="0" t="0"/>
                  <wp:docPr descr="Tuvalu" id="6" name="image14.png"/>
                  <a:graphic>
                    <a:graphicData uri="http://schemas.openxmlformats.org/drawingml/2006/picture">
                      <pic:pic>
                        <pic:nvPicPr>
                          <pic:cNvPr descr="Tuvalu" id="0" name="image14.png"/>
                          <pic:cNvPicPr preferRelativeResize="0"/>
                        </pic:nvPicPr>
                        <pic:blipFill>
                          <a:blip r:embed="rId14"/>
                          <a:srcRect b="0" l="0" r="0" t="0"/>
                          <a:stretch>
                            <a:fillRect/>
                          </a:stretch>
                        </pic:blipFill>
                        <pic:spPr>
                          <a:xfrm>
                            <a:off x="0" y="0"/>
                            <a:ext cx="254000" cy="127000"/>
                          </a:xfrm>
                          <a:prstGeom prst="rect"/>
                          <a:ln/>
                        </pic:spPr>
                      </pic:pic>
                    </a:graphicData>
                  </a:graphic>
                </wp:inline>
              </w:drawing>
            </w:r>
            <w:r w:rsidDel="00000000" w:rsidR="00000000" w:rsidRPr="00000000">
              <w:rPr>
                <w:shd w:fill="f9f9f9" w:val="clear"/>
                <w:rtl w:val="0"/>
              </w:rPr>
              <w:t xml:space="preserve"> </w:t>
            </w:r>
            <w:hyperlink r:id="rId15">
              <w:r w:rsidDel="00000000" w:rsidR="00000000" w:rsidRPr="00000000">
                <w:rPr>
                  <w:color w:val="0b0080"/>
                  <w:shd w:fill="f9f9f9" w:val="clear"/>
                  <w:rtl w:val="0"/>
                </w:rPr>
                <w:t xml:space="preserve">Tuvalu</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26</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10.837</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Ozeanien – </w:t>
            </w:r>
            <w:hyperlink r:id="rId16">
              <w:r w:rsidDel="00000000" w:rsidR="00000000" w:rsidRPr="00000000">
                <w:rPr>
                  <w:color w:val="0b0080"/>
                  <w:shd w:fill="f9f9f9" w:val="clear"/>
                  <w:rtl w:val="0"/>
                </w:rPr>
                <w:t xml:space="preserve">Polynesien</w:t>
              </w:r>
            </w:hyperlink>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5</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28600" cy="177800"/>
                  <wp:effectExtent b="9525" l="9525" r="9525" t="9525"/>
                  <wp:docPr descr="San Marino" id="9" name="image17.png"/>
                  <a:graphic>
                    <a:graphicData uri="http://schemas.openxmlformats.org/drawingml/2006/picture">
                      <pic:pic>
                        <pic:nvPicPr>
                          <pic:cNvPr descr="San Marino" id="0" name="image17.png"/>
                          <pic:cNvPicPr preferRelativeResize="0"/>
                        </pic:nvPicPr>
                        <pic:blipFill>
                          <a:blip r:embed="rId17"/>
                          <a:srcRect b="0" l="0" r="0" t="0"/>
                          <a:stretch>
                            <a:fillRect/>
                          </a:stretch>
                        </pic:blipFill>
                        <pic:spPr>
                          <a:xfrm>
                            <a:off x="0" y="0"/>
                            <a:ext cx="228600" cy="177800"/>
                          </a:xfrm>
                          <a:prstGeom prst="rect"/>
                          <a:ln w="9525">
                            <a:solidFill>
                              <a:srgbClr val="DDDDDD"/>
                            </a:solidFill>
                            <a:prstDash val="solid"/>
                          </a:ln>
                        </pic:spPr>
                      </pic:pic>
                    </a:graphicData>
                  </a:graphic>
                </wp:inline>
              </w:drawing>
            </w:r>
            <w:r w:rsidDel="00000000" w:rsidR="00000000" w:rsidRPr="00000000">
              <w:rPr>
                <w:shd w:fill="f9f9f9" w:val="clear"/>
                <w:rtl w:val="0"/>
              </w:rPr>
              <w:t xml:space="preserve"> </w:t>
            </w:r>
            <w:hyperlink r:id="rId18">
              <w:r w:rsidDel="00000000" w:rsidR="00000000" w:rsidRPr="00000000">
                <w:rPr>
                  <w:color w:val="0b0080"/>
                  <w:shd w:fill="f9f9f9" w:val="clear"/>
                  <w:rtl w:val="0"/>
                </w:rPr>
                <w:t xml:space="preserve">San Marino</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61</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31.948</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Südeuropa</w:t>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6</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54000" cy="152400"/>
                  <wp:effectExtent b="0" l="0" r="0" t="0"/>
                  <wp:docPr descr="Liechtenstein" id="1" name="image09.png"/>
                  <a:graphic>
                    <a:graphicData uri="http://schemas.openxmlformats.org/drawingml/2006/picture">
                      <pic:pic>
                        <pic:nvPicPr>
                          <pic:cNvPr descr="Liechtenstein" id="0" name="image09.png"/>
                          <pic:cNvPicPr preferRelativeResize="0"/>
                        </pic:nvPicPr>
                        <pic:blipFill>
                          <a:blip r:embed="rId19"/>
                          <a:srcRect b="0" l="0" r="0" t="0"/>
                          <a:stretch>
                            <a:fillRect/>
                          </a:stretch>
                        </pic:blipFill>
                        <pic:spPr>
                          <a:xfrm>
                            <a:off x="0" y="0"/>
                            <a:ext cx="254000" cy="152400"/>
                          </a:xfrm>
                          <a:prstGeom prst="rect"/>
                          <a:ln/>
                        </pic:spPr>
                      </pic:pic>
                    </a:graphicData>
                  </a:graphic>
                </wp:inline>
              </w:drawing>
            </w:r>
            <w:r w:rsidDel="00000000" w:rsidR="00000000" w:rsidRPr="00000000">
              <w:rPr>
                <w:shd w:fill="f9f9f9" w:val="clear"/>
                <w:rtl w:val="0"/>
              </w:rPr>
              <w:t xml:space="preserve"> </w:t>
            </w:r>
            <w:hyperlink r:id="rId20">
              <w:r w:rsidDel="00000000" w:rsidR="00000000" w:rsidRPr="00000000">
                <w:rPr>
                  <w:color w:val="0b0080"/>
                  <w:shd w:fill="f9f9f9" w:val="clear"/>
                  <w:rtl w:val="0"/>
                </w:rPr>
                <w:t xml:space="preserve">Liechtenstein</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160</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36.149</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hyperlink r:id="rId21">
              <w:r w:rsidDel="00000000" w:rsidR="00000000" w:rsidRPr="00000000">
                <w:rPr>
                  <w:color w:val="0b0080"/>
                  <w:shd w:fill="f9f9f9" w:val="clear"/>
                  <w:rtl w:val="0"/>
                </w:rPr>
                <w:t xml:space="preserve">Mitteleuropa</w:t>
              </w:r>
            </w:hyperlink>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7</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54000" cy="139700"/>
                  <wp:effectExtent b="0" l="0" r="0" t="0"/>
                  <wp:docPr descr="Marshallinseln" id="5" name="image13.png"/>
                  <a:graphic>
                    <a:graphicData uri="http://schemas.openxmlformats.org/drawingml/2006/picture">
                      <pic:pic>
                        <pic:nvPicPr>
                          <pic:cNvPr descr="Marshallinseln" id="0" name="image13.png"/>
                          <pic:cNvPicPr preferRelativeResize="0"/>
                        </pic:nvPicPr>
                        <pic:blipFill>
                          <a:blip r:embed="rId22"/>
                          <a:srcRect b="0" l="0" r="0" t="0"/>
                          <a:stretch>
                            <a:fillRect/>
                          </a:stretch>
                        </pic:blipFill>
                        <pic:spPr>
                          <a:xfrm>
                            <a:off x="0" y="0"/>
                            <a:ext cx="254000" cy="139700"/>
                          </a:xfrm>
                          <a:prstGeom prst="rect"/>
                          <a:ln/>
                        </pic:spPr>
                      </pic:pic>
                    </a:graphicData>
                  </a:graphic>
                </wp:inline>
              </w:drawing>
            </w:r>
            <w:r w:rsidDel="00000000" w:rsidR="00000000" w:rsidRPr="00000000">
              <w:rPr>
                <w:shd w:fill="f9f9f9" w:val="clear"/>
                <w:rtl w:val="0"/>
              </w:rPr>
              <w:t xml:space="preserve"> </w:t>
            </w:r>
            <w:hyperlink r:id="rId23">
              <w:r w:rsidDel="00000000" w:rsidR="00000000" w:rsidRPr="00000000">
                <w:rPr>
                  <w:color w:val="0b0080"/>
                  <w:shd w:fill="f9f9f9" w:val="clear"/>
                  <w:rtl w:val="0"/>
                </w:rPr>
                <w:t xml:space="preserve">Marshallinseln</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181</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54.600</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Ozeanien – Mikronesien</w:t>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8</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54000" cy="127000"/>
                  <wp:effectExtent b="0" l="0" r="0" t="0"/>
                  <wp:docPr descr="Niue" id="3" name="image11.png"/>
                  <a:graphic>
                    <a:graphicData uri="http://schemas.openxmlformats.org/drawingml/2006/picture">
                      <pic:pic>
                        <pic:nvPicPr>
                          <pic:cNvPr descr="Niue" id="0" name="image11.png"/>
                          <pic:cNvPicPr preferRelativeResize="0"/>
                        </pic:nvPicPr>
                        <pic:blipFill>
                          <a:blip r:embed="rId24"/>
                          <a:srcRect b="0" l="0" r="0" t="0"/>
                          <a:stretch>
                            <a:fillRect/>
                          </a:stretch>
                        </pic:blipFill>
                        <pic:spPr>
                          <a:xfrm>
                            <a:off x="0" y="0"/>
                            <a:ext cx="254000" cy="127000"/>
                          </a:xfrm>
                          <a:prstGeom prst="rect"/>
                          <a:ln/>
                        </pic:spPr>
                      </pic:pic>
                    </a:graphicData>
                  </a:graphic>
                </wp:inline>
              </w:drawing>
            </w:r>
            <w:r w:rsidDel="00000000" w:rsidR="00000000" w:rsidRPr="00000000">
              <w:rPr>
                <w:shd w:fill="f9f9f9" w:val="clear"/>
                <w:rtl w:val="0"/>
              </w:rPr>
              <w:t xml:space="preserve"> </w:t>
            </w:r>
            <w:hyperlink r:id="rId25">
              <w:r w:rsidDel="00000000" w:rsidR="00000000" w:rsidRPr="00000000">
                <w:rPr>
                  <w:color w:val="0b0080"/>
                  <w:shd w:fill="f9f9f9" w:val="clear"/>
                  <w:rtl w:val="0"/>
                </w:rPr>
                <w:t xml:space="preserve">Niue</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206</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1269</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Ozeanien</w:t>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9</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54000" cy="165100"/>
                  <wp:effectExtent b="0" l="0" r="0" t="0"/>
                  <wp:docPr descr="St. Kitts und Nevis" id="7" name="image15.png"/>
                  <a:graphic>
                    <a:graphicData uri="http://schemas.openxmlformats.org/drawingml/2006/picture">
                      <pic:pic>
                        <pic:nvPicPr>
                          <pic:cNvPr descr="St. Kitts und Nevis" id="0" name="image15.png"/>
                          <pic:cNvPicPr preferRelativeResize="0"/>
                        </pic:nvPicPr>
                        <pic:blipFill>
                          <a:blip r:embed="rId26"/>
                          <a:srcRect b="0" l="0" r="0" t="0"/>
                          <a:stretch>
                            <a:fillRect/>
                          </a:stretch>
                        </pic:blipFill>
                        <pic:spPr>
                          <a:xfrm>
                            <a:off x="0" y="0"/>
                            <a:ext cx="254000" cy="165100"/>
                          </a:xfrm>
                          <a:prstGeom prst="rect"/>
                          <a:ln/>
                        </pic:spPr>
                      </pic:pic>
                    </a:graphicData>
                  </a:graphic>
                </wp:inline>
              </w:drawing>
            </w:r>
            <w:r w:rsidDel="00000000" w:rsidR="00000000" w:rsidRPr="00000000">
              <w:rPr>
                <w:shd w:fill="f9f9f9" w:val="clear"/>
                <w:rtl w:val="0"/>
              </w:rPr>
              <w:t xml:space="preserve"> </w:t>
            </w:r>
            <w:hyperlink r:id="rId27">
              <w:r w:rsidDel="00000000" w:rsidR="00000000" w:rsidRPr="00000000">
                <w:rPr>
                  <w:color w:val="0b0080"/>
                  <w:shd w:fill="f9f9f9" w:val="clear"/>
                  <w:rtl w:val="0"/>
                </w:rPr>
                <w:t xml:space="preserve">St. Kitts und Nevis</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261</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50.314</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hyperlink r:id="rId28">
              <w:r w:rsidDel="00000000" w:rsidR="00000000" w:rsidRPr="00000000">
                <w:rPr>
                  <w:color w:val="0b0080"/>
                  <w:shd w:fill="f9f9f9" w:val="clear"/>
                  <w:rtl w:val="0"/>
                </w:rPr>
                <w:t xml:space="preserve">Karibik</w:t>
              </w:r>
            </w:hyperlink>
            <w:r w:rsidDel="00000000" w:rsidR="00000000" w:rsidRPr="00000000">
              <w:rPr>
                <w:rtl w:val="0"/>
              </w:rPr>
            </w:r>
          </w:p>
        </w:tc>
      </w:tr>
      <w:tr>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10</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drawing>
                <wp:inline distB="114300" distT="114300" distL="114300" distR="114300">
                  <wp:extent cx="254000" cy="165100"/>
                  <wp:effectExtent b="0" l="0" r="0" t="0"/>
                  <wp:docPr descr="Malediven" id="8" name="image16.png"/>
                  <a:graphic>
                    <a:graphicData uri="http://schemas.openxmlformats.org/drawingml/2006/picture">
                      <pic:pic>
                        <pic:nvPicPr>
                          <pic:cNvPr descr="Malediven" id="0" name="image16.png"/>
                          <pic:cNvPicPr preferRelativeResize="0"/>
                        </pic:nvPicPr>
                        <pic:blipFill>
                          <a:blip r:embed="rId29"/>
                          <a:srcRect b="0" l="0" r="0" t="0"/>
                          <a:stretch>
                            <a:fillRect/>
                          </a:stretch>
                        </pic:blipFill>
                        <pic:spPr>
                          <a:xfrm>
                            <a:off x="0" y="0"/>
                            <a:ext cx="254000" cy="165100"/>
                          </a:xfrm>
                          <a:prstGeom prst="rect"/>
                          <a:ln/>
                        </pic:spPr>
                      </pic:pic>
                    </a:graphicData>
                  </a:graphic>
                </wp:inline>
              </w:drawing>
            </w:r>
            <w:r w:rsidDel="00000000" w:rsidR="00000000" w:rsidRPr="00000000">
              <w:rPr>
                <w:shd w:fill="f9f9f9" w:val="clear"/>
                <w:rtl w:val="0"/>
              </w:rPr>
              <w:t xml:space="preserve"> </w:t>
            </w:r>
            <w:hyperlink r:id="rId30">
              <w:r w:rsidDel="00000000" w:rsidR="00000000" w:rsidRPr="00000000">
                <w:rPr>
                  <w:color w:val="0b0080"/>
                  <w:shd w:fill="f9f9f9" w:val="clear"/>
                  <w:rtl w:val="0"/>
                </w:rPr>
                <w:t xml:space="preserve">Malediven</w:t>
              </w:r>
            </w:hyperlink>
            <w:r w:rsidDel="00000000" w:rsidR="00000000" w:rsidRPr="00000000">
              <w:rPr>
                <w:rtl w:val="0"/>
              </w:rPr>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298</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r w:rsidDel="00000000" w:rsidR="00000000" w:rsidRPr="00000000">
              <w:rPr>
                <w:shd w:fill="f9f9f9" w:val="clear"/>
                <w:rtl w:val="0"/>
              </w:rPr>
              <w:t xml:space="preserve">328.536</w:t>
            </w:r>
          </w:p>
        </w:tc>
        <w:tc>
          <w:tcPr>
            <w:tcBorders>
              <w:top w:color="aaaaaa" w:space="0" w:sz="6" w:val="single"/>
              <w:left w:color="aaaaaa" w:space="0" w:sz="6" w:val="single"/>
              <w:bottom w:color="aaaaaa" w:space="0" w:sz="6" w:val="single"/>
              <w:right w:color="aaaaaa" w:space="0" w:sz="6" w:val="single"/>
            </w:tcBorders>
            <w:tcMar>
              <w:top w:w="60.0" w:type="dxa"/>
              <w:left w:w="80.0" w:type="dxa"/>
              <w:bottom w:w="60.0" w:type="dxa"/>
              <w:right w:w="80.0" w:type="dxa"/>
            </w:tcMar>
          </w:tcPr>
          <w:p w:rsidR="00000000" w:rsidDel="00000000" w:rsidP="00000000" w:rsidRDefault="00000000" w:rsidRPr="00000000">
            <w:pPr>
              <w:spacing w:after="220" w:before="220" w:line="366.54544830322317" w:lineRule="auto"/>
              <w:contextualSpacing w:val="0"/>
              <w:jc w:val="right"/>
            </w:pPr>
            <w:hyperlink r:id="rId31">
              <w:r w:rsidDel="00000000" w:rsidR="00000000" w:rsidRPr="00000000">
                <w:rPr>
                  <w:color w:val="0b0080"/>
                  <w:shd w:fill="f9f9f9" w:val="clear"/>
                  <w:rtl w:val="0"/>
                </w:rPr>
                <w:t xml:space="preserve">Südasien</w:t>
              </w:r>
            </w:hyperlink>
            <w:r w:rsidDel="00000000" w:rsidR="00000000" w:rsidRPr="00000000">
              <w:rPr>
                <w:shd w:fill="f9f9f9" w:val="clear"/>
                <w:rtl w:val="0"/>
              </w:rPr>
              <w:t xml:space="preserve"> – </w:t>
            </w:r>
            <w:hyperlink r:id="rId32">
              <w:r w:rsidDel="00000000" w:rsidR="00000000" w:rsidRPr="00000000">
                <w:rPr>
                  <w:color w:val="0b0080"/>
                  <w:shd w:fill="f9f9f9" w:val="clear"/>
                  <w:rtl w:val="0"/>
                </w:rPr>
                <w:t xml:space="preserve">Indischer Ozean</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333333"/>
          <w:sz w:val="28"/>
          <w:highlight w:val="white"/>
          <w:rtl w:val="0"/>
        </w:rPr>
        <w:t xml:space="preserve"> </w:t>
      </w: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image" Target="media/image09.png"/><Relationship Id="rId18" Type="http://schemas.openxmlformats.org/officeDocument/2006/relationships/hyperlink" Target="http://de.wikipedia.org/wiki/San_Marino" TargetMode="External"/><Relationship Id="rId17" Type="http://schemas.openxmlformats.org/officeDocument/2006/relationships/image" Target="media/image17.png"/><Relationship Id="rId16" Type="http://schemas.openxmlformats.org/officeDocument/2006/relationships/hyperlink" Target="http://de.wikipedia.org/wiki/Polynesien" TargetMode="External"/><Relationship Id="rId15" Type="http://schemas.openxmlformats.org/officeDocument/2006/relationships/hyperlink" Target="http://de.wikipedia.org/wiki/Tuvalu" TargetMode="External"/><Relationship Id="rId14" Type="http://schemas.openxmlformats.org/officeDocument/2006/relationships/image" Target="media/image14.png"/><Relationship Id="rId30" Type="http://schemas.openxmlformats.org/officeDocument/2006/relationships/hyperlink" Target="http://de.wikipedia.org/wiki/Malediven" TargetMode="External"/><Relationship Id="rId12" Type="http://schemas.openxmlformats.org/officeDocument/2006/relationships/hyperlink" Target="http://de.wikipedia.org/wiki/Ozeanien" TargetMode="External"/><Relationship Id="rId31" Type="http://schemas.openxmlformats.org/officeDocument/2006/relationships/hyperlink" Target="http://de.wikipedia.org/wiki/S%C3%BCdasien" TargetMode="External"/><Relationship Id="rId13" Type="http://schemas.openxmlformats.org/officeDocument/2006/relationships/hyperlink" Target="http://de.wikipedia.org/wiki/Mikronesien" TargetMode="External"/><Relationship Id="rId10" Type="http://schemas.openxmlformats.org/officeDocument/2006/relationships/image" Target="media/image19.png"/><Relationship Id="rId11" Type="http://schemas.openxmlformats.org/officeDocument/2006/relationships/hyperlink" Target="http://de.wikipedia.org/wiki/Nauru" TargetMode="External"/><Relationship Id="rId32" Type="http://schemas.openxmlformats.org/officeDocument/2006/relationships/hyperlink" Target="http://de.wikipedia.org/wiki/Indischer_Ozean" TargetMode="External"/><Relationship Id="rId29"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hyperlink" Target="http://de.wikipedia.org/wiki/Niue" TargetMode="External"/><Relationship Id="rId28" Type="http://schemas.openxmlformats.org/officeDocument/2006/relationships/hyperlink" Target="http://de.wikipedia.org/wiki/Karibik" TargetMode="External"/><Relationship Id="rId27" Type="http://schemas.openxmlformats.org/officeDocument/2006/relationships/hyperlink" Target="http://de.wikipedia.org/wiki/St._Kitts_und_Nevis" TargetMode="External"/><Relationship Id="rId2" Type="http://schemas.openxmlformats.org/officeDocument/2006/relationships/fontTable" Target="fontTable.xml"/><Relationship Id="rId21" Type="http://schemas.openxmlformats.org/officeDocument/2006/relationships/hyperlink" Target="http://de.wikipedia.org/wiki/Mitteleuropa" TargetMode="External"/><Relationship Id="rId1" Type="http://schemas.openxmlformats.org/officeDocument/2006/relationships/settings" Target="settings.xml"/><Relationship Id="rId22" Type="http://schemas.openxmlformats.org/officeDocument/2006/relationships/image" Target="media/image13.png"/><Relationship Id="rId4" Type="http://schemas.openxmlformats.org/officeDocument/2006/relationships/styles" Target="styles.xml"/><Relationship Id="rId23" Type="http://schemas.openxmlformats.org/officeDocument/2006/relationships/hyperlink" Target="http://de.wikipedia.org/wiki/Marshallinseln" TargetMode="External"/><Relationship Id="rId3" Type="http://schemas.openxmlformats.org/officeDocument/2006/relationships/numbering" Target="numbering.xml"/><Relationship Id="rId24" Type="http://schemas.openxmlformats.org/officeDocument/2006/relationships/image" Target="media/image11.png"/><Relationship Id="rId20" Type="http://schemas.openxmlformats.org/officeDocument/2006/relationships/hyperlink" Target="http://de.wikipedia.org/wiki/Liechtenstein" TargetMode="External"/><Relationship Id="rId9" Type="http://schemas.openxmlformats.org/officeDocument/2006/relationships/hyperlink" Target="http://de.wikipedia.org/wiki/Monaco" TargetMode="External"/><Relationship Id="rId6" Type="http://schemas.openxmlformats.org/officeDocument/2006/relationships/hyperlink" Target="http://de.wikipedia.org/wiki/Vatikanstadt" TargetMode="External"/><Relationship Id="rId5" Type="http://schemas.openxmlformats.org/officeDocument/2006/relationships/image" Target="media/image12.png"/><Relationship Id="rId8" Type="http://schemas.openxmlformats.org/officeDocument/2006/relationships/image" Target="media/image10.png"/><Relationship Id="rId7" Type="http://schemas.openxmlformats.org/officeDocument/2006/relationships/hyperlink" Target="http://de.wikipedia.org/wiki/S%C3%BCdeuropa" TargetMode="External"/></Relationships>
</file>